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left="0" w:leftChars="0" w:right="0" w:rightChars="0" w:firstLine="800" w:firstLineChars="200"/>
        <w:jc w:val="center"/>
        <w:textAlignment w:val="auto"/>
        <w:rPr>
          <w:rFonts w:hint="eastAsia" w:ascii="黑体" w:hAnsi="方正小标宋简体" w:eastAsia="黑体" w:cs="方正小标宋简体"/>
          <w:b w:val="0"/>
          <w:sz w:val="40"/>
          <w:szCs w:val="22"/>
          <w:lang w:val="en-US" w:eastAsia="zh-CN"/>
        </w:rPr>
      </w:pPr>
      <w:r>
        <w:rPr>
          <w:rFonts w:hint="eastAsia" w:ascii="黑体" w:hAnsi="方正小标宋简体" w:eastAsia="黑体" w:cs="方正小标宋简体"/>
          <w:b w:val="0"/>
          <w:sz w:val="40"/>
          <w:szCs w:val="22"/>
          <w:lang w:val="en-US" w:eastAsia="zh-CN"/>
        </w:rPr>
        <w:t>人证核验设备采购需求</w:t>
      </w:r>
    </w:p>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一.技术要求</w:t>
      </w:r>
    </w:p>
    <w:p>
      <w:pPr>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left"/>
        <w:textAlignment w:val="auto"/>
        <w:outlineLvl w:val="1"/>
        <w:rPr>
          <w:rFonts w:ascii="楷体" w:hAnsi="Times New Roman" w:eastAsia="楷体" w:cs="Times New Roman"/>
          <w:b w:val="0"/>
          <w:sz w:val="32"/>
          <w:szCs w:val="18"/>
        </w:rPr>
      </w:pPr>
      <w:r>
        <w:rPr>
          <w:rFonts w:hint="eastAsia" w:ascii="楷体" w:hAnsi="楷体" w:eastAsia="楷体" w:cs="楷体"/>
          <w:b w:val="0"/>
          <w:sz w:val="32"/>
          <w:szCs w:val="28"/>
          <w:lang w:val="en-US" w:eastAsia="zh-CN"/>
        </w:rPr>
        <w:t>设备具体参数</w:t>
      </w:r>
    </w:p>
    <w:tbl>
      <w:tblPr>
        <w:tblStyle w:val="6"/>
        <w:tblpPr w:leftFromText="180" w:rightFromText="180" w:vertAnchor="text" w:tblpXSpec="center" w:tblpY="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操作系统</w:t>
            </w:r>
          </w:p>
        </w:tc>
        <w:tc>
          <w:tcPr>
            <w:tcW w:w="6457" w:type="dxa"/>
            <w:noWrap w:val="0"/>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不低于</w:t>
            </w:r>
            <w:r>
              <w:rPr>
                <w:rFonts w:hint="eastAsia" w:ascii="仿宋" w:hAnsi="仿宋" w:eastAsia="仿宋" w:cs="仿宋"/>
                <w:sz w:val="30"/>
                <w:szCs w:val="30"/>
              </w:rPr>
              <w:t>Android  1</w:t>
            </w:r>
            <w:r>
              <w:rPr>
                <w:rFonts w:hint="eastAsia" w:ascii="仿宋" w:hAnsi="仿宋" w:eastAsia="仿宋" w:cs="仿宋"/>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处理器主频</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≥4核，</w:t>
            </w:r>
            <w:r>
              <w:rPr>
                <w:rFonts w:hint="eastAsia" w:ascii="仿宋" w:hAnsi="仿宋" w:eastAsia="仿宋" w:cs="仿宋"/>
                <w:sz w:val="30"/>
                <w:szCs w:val="30"/>
                <w:lang w:val="en-US" w:eastAsia="zh-CN"/>
              </w:rPr>
              <w:t>1.8</w:t>
            </w:r>
            <w:r>
              <w:rPr>
                <w:rFonts w:hint="eastAsia" w:ascii="仿宋" w:hAnsi="仿宋" w:eastAsia="仿宋" w:cs="仿宋"/>
                <w:sz w:val="30"/>
                <w:szCs w:val="30"/>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内存</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lang w:eastAsia="zh-CN"/>
              </w:rPr>
            </w:pPr>
            <w:r>
              <w:rPr>
                <w:rFonts w:hint="eastAsia" w:ascii="仿宋" w:hAnsi="仿宋" w:eastAsia="仿宋" w:cs="仿宋"/>
                <w:b/>
                <w:kern w:val="0"/>
                <w:sz w:val="30"/>
                <w:szCs w:val="30"/>
                <w:lang w:val="en-US" w:eastAsia="zh-CN"/>
              </w:rPr>
              <w:t>存储</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人证比对时间</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≤1s/人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tabs>
                <w:tab w:val="left" w:pos="705"/>
              </w:tabs>
              <w:jc w:val="center"/>
              <w:rPr>
                <w:rFonts w:hint="eastAsia" w:ascii="仿宋" w:hAnsi="仿宋" w:eastAsia="仿宋" w:cs="仿宋"/>
                <w:b/>
                <w:kern w:val="0"/>
                <w:sz w:val="30"/>
                <w:szCs w:val="30"/>
              </w:rPr>
            </w:pPr>
            <w:r>
              <w:rPr>
                <w:rFonts w:hint="eastAsia" w:ascii="仿宋" w:hAnsi="仿宋" w:eastAsia="仿宋" w:cs="仿宋"/>
                <w:b/>
                <w:kern w:val="0"/>
                <w:sz w:val="30"/>
                <w:szCs w:val="30"/>
              </w:rPr>
              <w:t>面部识别距离</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0.3m～2m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tabs>
                <w:tab w:val="left" w:pos="705"/>
              </w:tabs>
              <w:jc w:val="center"/>
              <w:rPr>
                <w:rFonts w:hint="eastAsia" w:ascii="仿宋" w:hAnsi="仿宋" w:eastAsia="仿宋" w:cs="仿宋"/>
                <w:b/>
                <w:kern w:val="0"/>
                <w:sz w:val="30"/>
                <w:szCs w:val="30"/>
              </w:rPr>
            </w:pPr>
            <w:r>
              <w:rPr>
                <w:rFonts w:hint="eastAsia" w:ascii="仿宋" w:hAnsi="仿宋" w:eastAsia="仿宋" w:cs="仿宋"/>
                <w:b/>
                <w:kern w:val="0"/>
                <w:sz w:val="30"/>
                <w:szCs w:val="30"/>
              </w:rPr>
              <w:t>存储容量</w:t>
            </w:r>
          </w:p>
        </w:tc>
        <w:tc>
          <w:tcPr>
            <w:tcW w:w="6457" w:type="dxa"/>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至少</w:t>
            </w:r>
            <w:r>
              <w:rPr>
                <w:rFonts w:hint="eastAsia" w:ascii="仿宋" w:hAnsi="仿宋" w:eastAsia="仿宋" w:cs="仿宋"/>
                <w:color w:val="000000"/>
                <w:sz w:val="30"/>
                <w:szCs w:val="30"/>
              </w:rPr>
              <w:t>10万张人脸、50万张卡、50万条事件记录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lang w:val="en-US" w:eastAsia="zh-CN"/>
              </w:rPr>
            </w:pPr>
            <w:r>
              <w:rPr>
                <w:rFonts w:hint="eastAsia" w:ascii="仿宋" w:hAnsi="仿宋" w:eastAsia="仿宋" w:cs="仿宋"/>
                <w:b/>
                <w:kern w:val="0"/>
                <w:sz w:val="30"/>
                <w:szCs w:val="30"/>
                <w:lang w:val="en-US" w:eastAsia="zh-CN"/>
              </w:rPr>
              <w:t>触摸屏</w:t>
            </w:r>
          </w:p>
        </w:tc>
        <w:tc>
          <w:tcPr>
            <w:tcW w:w="6457" w:type="dxa"/>
            <w:noWrap w:val="0"/>
            <w:vAlign w:val="center"/>
          </w:tcPr>
          <w:p>
            <w:pPr>
              <w:tabs>
                <w:tab w:val="left" w:pos="2143"/>
              </w:tabs>
              <w:jc w:val="center"/>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支持多点触控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vMerge w:val="restart"/>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显示屏</w:t>
            </w:r>
          </w:p>
        </w:tc>
        <w:tc>
          <w:tcPr>
            <w:tcW w:w="6457" w:type="dxa"/>
            <w:noWrap w:val="0"/>
            <w:vAlign w:val="center"/>
          </w:tcPr>
          <w:p>
            <w:pPr>
              <w:tabs>
                <w:tab w:val="left" w:pos="2172"/>
                <w:tab w:val="center" w:pos="3598"/>
              </w:tabs>
              <w:jc w:val="center"/>
              <w:rPr>
                <w:rFonts w:hint="eastAsia" w:ascii="仿宋" w:hAnsi="仿宋" w:eastAsia="仿宋" w:cs="仿宋"/>
                <w:sz w:val="30"/>
                <w:szCs w:val="30"/>
              </w:rPr>
            </w:pPr>
            <w:r>
              <w:rPr>
                <w:rFonts w:hint="eastAsia" w:ascii="仿宋" w:hAnsi="仿宋" w:eastAsia="仿宋" w:cs="仿宋"/>
                <w:sz w:val="30"/>
                <w:szCs w:val="30"/>
              </w:rPr>
              <w:t>≥10.1英寸显示屏（双屏型号支持）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vMerge w:val="continue"/>
            <w:noWrap w:val="0"/>
            <w:vAlign w:val="center"/>
          </w:tcPr>
          <w:p>
            <w:pPr>
              <w:jc w:val="center"/>
              <w:rPr>
                <w:rFonts w:hint="eastAsia" w:ascii="仿宋" w:hAnsi="仿宋" w:eastAsia="仿宋" w:cs="仿宋"/>
                <w:b/>
                <w:kern w:val="0"/>
                <w:sz w:val="30"/>
                <w:szCs w:val="30"/>
              </w:rPr>
            </w:pP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屏幕比例：16:9分辨率：1280*800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lang w:eastAsia="zh-CN"/>
              </w:rPr>
            </w:pPr>
            <w:r>
              <w:rPr>
                <w:rFonts w:hint="eastAsia" w:ascii="仿宋" w:hAnsi="仿宋" w:eastAsia="仿宋" w:cs="仿宋"/>
                <w:b/>
                <w:kern w:val="0"/>
                <w:sz w:val="30"/>
                <w:szCs w:val="30"/>
                <w:lang w:val="en-US" w:eastAsia="zh-CN"/>
              </w:rPr>
              <w:t>网络</w:t>
            </w:r>
          </w:p>
        </w:tc>
        <w:tc>
          <w:tcPr>
            <w:tcW w:w="6457"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支持wifi模块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lang w:val="en-US" w:eastAsia="zh-CN"/>
              </w:rPr>
              <w:t>通讯</w:t>
            </w:r>
            <w:r>
              <w:rPr>
                <w:rFonts w:hint="eastAsia" w:ascii="仿宋" w:hAnsi="仿宋" w:eastAsia="仿宋" w:cs="仿宋"/>
                <w:b/>
                <w:kern w:val="0"/>
                <w:sz w:val="30"/>
                <w:szCs w:val="30"/>
              </w:rPr>
              <w:t>接口</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RS485*1（预留）、RS232*1（预留）、USB*3、</w:t>
            </w:r>
            <w:r>
              <w:rPr>
                <w:rFonts w:hint="eastAsia" w:ascii="仿宋" w:hAnsi="仿宋" w:eastAsia="仿宋" w:cs="仿宋"/>
                <w:color w:val="000000"/>
                <w:sz w:val="30"/>
                <w:szCs w:val="30"/>
              </w:rPr>
              <w:t>I/O*2（预留报警*1/门锁*1）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摄像头</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不低于</w:t>
            </w:r>
            <w:r>
              <w:rPr>
                <w:rFonts w:hint="eastAsia" w:ascii="仿宋" w:hAnsi="仿宋" w:eastAsia="仿宋" w:cs="仿宋"/>
                <w:sz w:val="30"/>
                <w:szCs w:val="30"/>
              </w:rPr>
              <w:t>200万高清宽动态双目摄像头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2362" w:type="dxa"/>
            <w:noWrap w:val="0"/>
            <w:vAlign w:val="center"/>
          </w:tcPr>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外接摄像头</w:t>
            </w:r>
          </w:p>
        </w:tc>
        <w:tc>
          <w:tcPr>
            <w:tcW w:w="6457"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支持外接USB摄像头热插拔，</w:t>
            </w:r>
            <w:r>
              <w:rPr>
                <w:rFonts w:hint="eastAsia" w:ascii="仿宋" w:hAnsi="仿宋" w:eastAsia="仿宋" w:cs="仿宋"/>
                <w:sz w:val="30"/>
                <w:szCs w:val="30"/>
                <w:lang w:val="en-US" w:eastAsia="zh-CN"/>
              </w:rPr>
              <w:t>-</w:t>
            </w:r>
            <w:r>
              <w:rPr>
                <w:rFonts w:hint="eastAsia" w:ascii="仿宋" w:hAnsi="仿宋" w:eastAsia="仿宋" w:cs="仿宋"/>
                <w:sz w:val="30"/>
                <w:szCs w:val="30"/>
              </w:rPr>
              <w:t>可选择切换使用外接摄像头</w:t>
            </w:r>
          </w:p>
        </w:tc>
      </w:tr>
    </w:tbl>
    <w:p>
      <w:pPr>
        <w:pStyle w:val="3"/>
        <w:numPr>
          <w:ilvl w:val="0"/>
          <w:numId w:val="1"/>
        </w:numPr>
        <w:bidi w:val="0"/>
        <w:spacing w:before="0" w:after="0" w:line="240" w:lineRule="auto"/>
        <w:ind w:left="425" w:leftChars="0" w:hanging="425" w:firstLineChars="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val="en-US" w:eastAsia="zh-CN"/>
        </w:rPr>
        <w:t>功能参数</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rPr>
      </w:pPr>
      <w:r>
        <w:rPr>
          <w:rFonts w:hint="eastAsia" w:ascii="仿宋" w:hAnsi="Times New Roman" w:eastAsia="仿宋"/>
          <w:b w:val="0"/>
          <w:bCs/>
          <w:color w:val="auto"/>
          <w:sz w:val="30"/>
          <w:szCs w:val="30"/>
          <w:lang w:val="en-US" w:eastAsia="zh-CN"/>
        </w:rPr>
        <w:t>★</w:t>
      </w:r>
      <w:r>
        <w:rPr>
          <w:rFonts w:hint="eastAsia" w:ascii="仿宋" w:hAnsi="仿宋" w:eastAsia="仿宋" w:cs="仿宋"/>
          <w:b w:val="0"/>
          <w:bCs/>
          <w:color w:val="auto"/>
          <w:sz w:val="30"/>
          <w:szCs w:val="30"/>
        </w:rPr>
        <w:t>认证功能：可关联甘肃省省级出生证明管理平台，可实现与平台的核验签发出生证明功能</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★认证方式：人证1:1认证方式，同时支持人脸、刷卡（IC卡、手机NFC卡、CPU卡序列号）的1:N认证方式；</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★人脸比对：采用深度学习算法，支持照片、视频防假；1:N人脸比对速度≤0.2s，人脸验证准确率≥99%；</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★采集模式：支持设置采集模式，支持人脸、IC卡号、CPU卡号、国密卡号、身份证物理卡号、身份证信息采集；</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支持采集人员管理，包括查看、修改、删除、导入、导出、清空已采集的人员信息</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★人证比对：设备支持传统人证（身份证）比对功能，即将现场抓拍的人脸照片与身份证内人脸小图进行比对，比对时间≤1s/人；</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 xml:space="preserve">★证件照抓拍比对：支持除身份证外其他证件的人证比对功能，即将现场抓拍的人脸照片与独立证件抓拍摄像头抓拍的证件人脸照片进行比对，比对时间≤1s/人, 并支持抓拍照片抠图存储； </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★无证比对：可配置无证比对功能，在主页面中手动输入身份证号码+姓名后，将身份信息及抓拍照片上报给公安库进行比对；</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bookmarkStart w:id="0" w:name="_GoBack"/>
      <w:r>
        <w:rPr>
          <w:rFonts w:hint="eastAsia" w:ascii="仿宋" w:hAnsi="仿宋" w:eastAsia="仿宋" w:cs="仿宋"/>
          <w:b w:val="0"/>
          <w:bCs/>
          <w:color w:val="auto"/>
          <w:sz w:val="30"/>
          <w:szCs w:val="30"/>
          <w:lang w:val="en-US" w:eastAsia="zh-CN"/>
        </w:rPr>
        <w:t>★人脸/刷卡比对功能：支持现场抓拍图片与本地人脸库</w:t>
      </w:r>
      <w:bookmarkEnd w:id="0"/>
      <w:r>
        <w:rPr>
          <w:rFonts w:hint="eastAsia" w:ascii="仿宋" w:hAnsi="仿宋" w:eastAsia="仿宋" w:cs="仿宋"/>
          <w:b w:val="0"/>
          <w:bCs/>
          <w:color w:val="auto"/>
          <w:sz w:val="30"/>
          <w:szCs w:val="30"/>
          <w:lang w:val="en-US" w:eastAsia="zh-CN"/>
        </w:rPr>
        <w:t>进行1:N比对， 1：N比对时间≤0.2s/人；设备支持配置单独人脸/刷卡，或人脸+刷卡等组合验证方式；</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口罩检测功能：可支持带口罩识别人脸，并完成人证比对等验证方式；提醒戴口罩：未带口罩人员权限认证后会进行设备提醒；必须带口罩：只有带口罩人员才支持完成权限认证；</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自定义功能：设备支持认证成功界面的“照片”、“姓名”、“工号”信息可分别配置是否显示；</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视频预览：支持管理中心远程视频预览，支持接入NVR设备，实现视频监控录像，编码格式H.264；</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认证结果语音自定义：集成文字转语音（TTS）和语音合成技术，认证成功和认证失败的语音可以分别配置自定义播报，同时认证成功的语音可叠加播报姓名；</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黑名单核验：支持中心下发黑名单人员信息，实现本地黑名单核验；</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★单机使用：设备可进行本地管理，支持本地注册人脸、查询、设置、管理设备参数等；</w:t>
      </w:r>
    </w:p>
    <w:p>
      <w:pPr>
        <w:pStyle w:val="3"/>
        <w:numPr>
          <w:ilvl w:val="0"/>
          <w:numId w:val="1"/>
        </w:numPr>
        <w:bidi w:val="0"/>
        <w:spacing w:before="0" w:after="0" w:line="240" w:lineRule="auto"/>
        <w:ind w:left="425" w:leftChars="0" w:hanging="425" w:firstLineChars="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甘肃省出生医学证明管理系统对接</w:t>
      </w:r>
    </w:p>
    <w:p>
      <w:pPr>
        <w:pStyle w:val="3"/>
        <w:numPr>
          <w:ilvl w:val="1"/>
          <w:numId w:val="1"/>
        </w:numPr>
        <w:bidi w:val="0"/>
        <w:spacing w:before="0" w:after="0" w:line="240" w:lineRule="auto"/>
        <w:ind w:left="0" w:leftChars="0" w:firstLine="0" w:firstLineChars="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★完成人证核验（人脸识别）设备与“甘肃省出生医学证明管理系统”对接工作并做好相关设备配置工作。</w:t>
      </w:r>
    </w:p>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二.商务要求</w:t>
      </w:r>
    </w:p>
    <w:p>
      <w:pPr>
        <w:pStyle w:val="3"/>
        <w:numPr>
          <w:ilvl w:val="1"/>
          <w:numId w:val="2"/>
        </w:numPr>
        <w:bidi w:val="0"/>
        <w:spacing w:before="0" w:after="0" w:line="240" w:lineRule="auto"/>
        <w:ind w:left="0" w:leftChars="0" w:firstLine="0" w:firstLineChars="0"/>
        <w:rPr>
          <w:rFonts w:hint="default"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实施期限：中标后7日内完成人证核验设备的送货、安装、部署工作。</w:t>
      </w:r>
    </w:p>
    <w:p>
      <w:pPr>
        <w:pStyle w:val="3"/>
        <w:numPr>
          <w:ilvl w:val="1"/>
          <w:numId w:val="2"/>
        </w:numPr>
        <w:bidi w:val="0"/>
        <w:spacing w:before="0" w:after="0" w:line="240" w:lineRule="auto"/>
        <w:ind w:left="0" w:leftChars="0" w:firstLine="0" w:firstLineChars="0"/>
        <w:rPr>
          <w:rFonts w:hint="eastAsia" w:ascii="仿宋" w:hAnsi="Times New Roman" w:eastAsia="仿宋"/>
          <w:b w:val="0"/>
          <w:bCs/>
          <w:color w:val="auto"/>
          <w:sz w:val="30"/>
          <w:szCs w:val="30"/>
        </w:rPr>
      </w:pPr>
      <w:r>
        <w:rPr>
          <w:rFonts w:hint="eastAsia" w:ascii="仿宋" w:hAnsi="Times New Roman" w:eastAsia="仿宋"/>
          <w:b w:val="0"/>
          <w:bCs/>
          <w:color w:val="auto"/>
          <w:sz w:val="30"/>
          <w:szCs w:val="30"/>
        </w:rPr>
        <w:t>付款方式：合同签订后乙方按本合同约定和甲方要求进行安装调试，</w:t>
      </w:r>
      <w:r>
        <w:rPr>
          <w:rFonts w:hint="eastAsia" w:ascii="仿宋" w:hAnsi="Times New Roman" w:eastAsia="仿宋"/>
          <w:b w:val="0"/>
          <w:bCs/>
          <w:color w:val="auto"/>
          <w:sz w:val="30"/>
          <w:szCs w:val="30"/>
          <w:lang w:val="en-US" w:eastAsia="zh-CN"/>
        </w:rPr>
        <w:t>设备验收合格后</w:t>
      </w:r>
      <w:r>
        <w:rPr>
          <w:rFonts w:hint="eastAsia" w:ascii="仿宋" w:hAnsi="Times New Roman" w:eastAsia="仿宋"/>
          <w:b w:val="0"/>
          <w:bCs/>
          <w:color w:val="auto"/>
          <w:sz w:val="30"/>
          <w:szCs w:val="30"/>
        </w:rPr>
        <w:t>乙方开具全额发票并送交甲方，甲方支付</w:t>
      </w:r>
      <w:r>
        <w:rPr>
          <w:rFonts w:hint="eastAsia" w:ascii="仿宋" w:hAnsi="Times New Roman" w:eastAsia="仿宋"/>
          <w:b w:val="0"/>
          <w:bCs/>
          <w:color w:val="auto"/>
          <w:sz w:val="30"/>
          <w:szCs w:val="30"/>
          <w:lang w:val="en-US" w:eastAsia="zh-CN"/>
        </w:rPr>
        <w:t>合同价款的90%，待质保期结束后甲方支付剩余10%合同价款</w:t>
      </w:r>
      <w:r>
        <w:rPr>
          <w:rFonts w:hint="eastAsia" w:ascii="仿宋" w:hAnsi="Times New Roman" w:eastAsia="仿宋"/>
          <w:b w:val="0"/>
          <w:bCs/>
          <w:color w:val="auto"/>
          <w:sz w:val="30"/>
          <w:szCs w:val="30"/>
        </w:rPr>
        <w:t>。</w:t>
      </w:r>
    </w:p>
    <w:p>
      <w:pPr>
        <w:pStyle w:val="3"/>
        <w:numPr>
          <w:ilvl w:val="1"/>
          <w:numId w:val="2"/>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质保期：整机（含配套附件、附属设备等）原厂质保三年，质保期自正式验收合格之日起计算，提供相关质保承诺文件，在质保期内进行售后服务不得收取任何费用。</w:t>
      </w:r>
    </w:p>
    <w:p>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仿宋" w:eastAsia="黑体" w:cs="仿宋"/>
          <w:b w:val="0"/>
          <w:spacing w:val="-4"/>
          <w:kern w:val="2"/>
          <w:sz w:val="32"/>
          <w:szCs w:val="28"/>
          <w:lang w:val="en-US" w:eastAsia="zh-CN" w:bidi="ar-SA"/>
        </w:rPr>
      </w:pPr>
      <w:r>
        <w:rPr>
          <w:rFonts w:hint="eastAsia" w:ascii="黑体" w:hAnsi="黑体" w:eastAsia="黑体" w:cs="黑体"/>
          <w:b w:val="0"/>
          <w:sz w:val="32"/>
          <w:szCs w:val="28"/>
          <w:lang w:val="en-US" w:eastAsia="zh-CN"/>
        </w:rPr>
        <w:t>三.售后服务</w:t>
      </w:r>
    </w:p>
    <w:p>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合同服务期限内无偿对提供的产品进行服务，对其出现的故障进行维修，出具系统故障统计分析说明。</w:t>
      </w:r>
    </w:p>
    <w:p>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配备专职售后服务工程师，如实提供售后工程师名单、联系方式等证明材料。接到院方报修 2小时内响应，24小时内抵达现场维修。</w:t>
      </w:r>
    </w:p>
    <w:p>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质保期内厂家专业售后工程师每12个月进行一次巡检保养。</w:t>
      </w:r>
    </w:p>
    <w:p>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中标方需提供设备操作手册、使用说明书、维修维护等相关中文技术资料。</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pacing w:val="-4"/>
          <w:kern w:val="2"/>
          <w:sz w:val="28"/>
          <w:szCs w:val="28"/>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C5D619-01D0-4D05-8C57-9FD236EDD6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016DCA23-8C97-4D64-8A73-7F194F3370DF}"/>
  </w:font>
  <w:font w:name="楷体">
    <w:panose1 w:val="02010609060101010101"/>
    <w:charset w:val="86"/>
    <w:family w:val="auto"/>
    <w:pitch w:val="default"/>
    <w:sig w:usb0="800002BF" w:usb1="38CF7CFA" w:usb2="00000016" w:usb3="00000000" w:csb0="00040001" w:csb1="00000000"/>
    <w:embedRegular r:id="rId3" w:fontKey="{A86E1852-F598-4956-8062-D8E32C594B0B}"/>
  </w:font>
  <w:font w:name="仿宋">
    <w:panose1 w:val="02010609060101010101"/>
    <w:charset w:val="86"/>
    <w:family w:val="auto"/>
    <w:pitch w:val="default"/>
    <w:sig w:usb0="800002BF" w:usb1="38CF7CFA" w:usb2="00000016" w:usb3="00000000" w:csb0="00040001" w:csb1="00000000"/>
    <w:embedRegular r:id="rId4" w:fontKey="{D3D68192-CD41-4D89-975D-1BB8CB5143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9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5"/>
        <w:sz w:val="18"/>
        <w:szCs w:val="18"/>
      </w:rPr>
      <w:t xml:space="preserve"> </w:t>
    </w:r>
    <w:r>
      <w:rPr>
        <w:rFonts w:ascii="Times New Roman" w:hAnsi="Times New Roman" w:eastAsia="Times New Roman" w:cs="Times New Roman"/>
        <w:spacing w:val="-6"/>
        <w:sz w:val="18"/>
        <w:szCs w:val="18"/>
      </w:rPr>
      <w:t>5</w:t>
    </w:r>
    <w:r>
      <w:rPr>
        <w:rFonts w:ascii="宋体" w:hAnsi="宋体" w:eastAsia="宋体" w:cs="宋体"/>
        <w:spacing w:val="-6"/>
        <w:sz w:val="18"/>
        <w:szCs w:val="18"/>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F4A5A"/>
    <w:multiLevelType w:val="multilevel"/>
    <w:tmpl w:val="F0AF4A5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0416EE0E"/>
    <w:multiLevelType w:val="multilevel"/>
    <w:tmpl w:val="0416EE0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2F19619C"/>
    <w:multiLevelType w:val="multilevel"/>
    <w:tmpl w:val="2F19619C"/>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RjYTRmNjc2NWRmM2Y5MzZlOGI5NWM3NzcwYjYifQ=="/>
  </w:docVars>
  <w:rsids>
    <w:rsidRoot w:val="00000000"/>
    <w:rsid w:val="01C11F37"/>
    <w:rsid w:val="03B91B12"/>
    <w:rsid w:val="0A1A36A0"/>
    <w:rsid w:val="106612B1"/>
    <w:rsid w:val="119E1E7B"/>
    <w:rsid w:val="16E34A60"/>
    <w:rsid w:val="17AE48B8"/>
    <w:rsid w:val="1BDE43F2"/>
    <w:rsid w:val="1DC17E21"/>
    <w:rsid w:val="1E277353"/>
    <w:rsid w:val="20B77F73"/>
    <w:rsid w:val="244E6225"/>
    <w:rsid w:val="24B61AC8"/>
    <w:rsid w:val="2AD766ED"/>
    <w:rsid w:val="2EEF289F"/>
    <w:rsid w:val="2F2B1E18"/>
    <w:rsid w:val="2F9836EF"/>
    <w:rsid w:val="399F5CC8"/>
    <w:rsid w:val="39EC1C1F"/>
    <w:rsid w:val="4C4E358F"/>
    <w:rsid w:val="4D095A74"/>
    <w:rsid w:val="4FD80B7D"/>
    <w:rsid w:val="50E53551"/>
    <w:rsid w:val="53650979"/>
    <w:rsid w:val="56502F72"/>
    <w:rsid w:val="5A1F5392"/>
    <w:rsid w:val="5F5B1843"/>
    <w:rsid w:val="636E4ABC"/>
    <w:rsid w:val="66C965B3"/>
    <w:rsid w:val="6CFD71FD"/>
    <w:rsid w:val="6FE82925"/>
    <w:rsid w:val="734B697B"/>
    <w:rsid w:val="745E02C5"/>
    <w:rsid w:val="79F858BF"/>
    <w:rsid w:val="7D4C2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华文仿宋" w:cs="Times New Roman"/>
      <w:kern w:val="2"/>
      <w:sz w:val="30"/>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27"/>
      <w:szCs w:val="27"/>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autoRedefine/>
    <w:semiHidden/>
    <w:qFormat/>
    <w:uiPriority w:val="0"/>
    <w:rPr>
      <w:rFonts w:ascii="宋体" w:hAnsi="宋体" w:eastAsia="宋体" w:cs="宋体"/>
      <w:sz w:val="28"/>
      <w:szCs w:val="28"/>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 w:type="paragraph" w:styleId="1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1">
    <w:name w:val="正文（缩进）"/>
    <w:basedOn w:val="1"/>
    <w:autoRedefine/>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Words>
  <Characters>46</Characters>
  <Lines>0</Lines>
  <Paragraphs>0</Paragraphs>
  <TotalTime>245</TotalTime>
  <ScaleCrop>false</ScaleCrop>
  <LinksUpToDate>false</LinksUpToDate>
  <CharactersWithSpaces>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2024-05-29T03:00:00Z</dcterms:created>
  <dc:creator>admin</dc:creator>
  <cp:lastModifiedBy>王之泽</cp:lastModifiedBy>
  <dcterms:modified xsi:type="dcterms:W3CDTF">2024-08-30T03:10:28Z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EAFA0968AB7441C8827EA9BACFBC9AE1_13</vt:lpwstr>
  </property>
</Properties>
</file>